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C753E1" w:rsidRDefault="00B743E2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WÓJT GMINY KOSTOMŁOTY</w:t>
      </w:r>
    </w:p>
    <w:p w:rsidR="00B743E2" w:rsidRPr="00C753E1" w:rsidRDefault="00B743E2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>OGŁASZA</w:t>
      </w:r>
    </w:p>
    <w:p w:rsidR="00B743E2" w:rsidRPr="00C753E1" w:rsidRDefault="00F74C5A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 xml:space="preserve">I </w:t>
      </w:r>
      <w:r w:rsidR="00FE2F51" w:rsidRPr="00C753E1">
        <w:rPr>
          <w:rFonts w:ascii="Calibri" w:hAnsi="Calibri"/>
          <w:b/>
        </w:rPr>
        <w:t>UST</w:t>
      </w:r>
      <w:r w:rsidR="00B743E2" w:rsidRPr="00C753E1">
        <w:rPr>
          <w:rFonts w:ascii="Calibri" w:hAnsi="Calibri"/>
          <w:b/>
        </w:rPr>
        <w:t>NY PRZETARG NIEOGRANICZONY</w:t>
      </w:r>
    </w:p>
    <w:p w:rsidR="00B743E2" w:rsidRPr="00C753E1" w:rsidRDefault="00825958" w:rsidP="007C51FE">
      <w:pPr>
        <w:jc w:val="center"/>
        <w:rPr>
          <w:rFonts w:ascii="Calibri" w:hAnsi="Calibri"/>
          <w:b/>
        </w:rPr>
      </w:pPr>
      <w:r w:rsidRPr="00C753E1">
        <w:rPr>
          <w:rFonts w:ascii="Calibri" w:hAnsi="Calibri"/>
          <w:b/>
        </w:rPr>
        <w:t xml:space="preserve">na sprzedaż </w:t>
      </w:r>
      <w:r w:rsidR="00751DF3" w:rsidRPr="00C753E1">
        <w:rPr>
          <w:rFonts w:ascii="Calibri" w:hAnsi="Calibri"/>
          <w:b/>
        </w:rPr>
        <w:t>następujących</w:t>
      </w:r>
      <w:r w:rsidR="0095080C" w:rsidRPr="00C753E1">
        <w:rPr>
          <w:rFonts w:ascii="Calibri" w:hAnsi="Calibri"/>
          <w:b/>
        </w:rPr>
        <w:t xml:space="preserve"> nieruchomości:</w:t>
      </w:r>
    </w:p>
    <w:p w:rsidR="004725E7" w:rsidRPr="00C753E1" w:rsidRDefault="004725E7" w:rsidP="007C51FE">
      <w:pPr>
        <w:jc w:val="both"/>
        <w:rPr>
          <w:rFonts w:ascii="Calibri" w:hAnsi="Calibri"/>
          <w:b/>
        </w:rPr>
      </w:pPr>
    </w:p>
    <w:p w:rsidR="004D33A5" w:rsidRPr="00642D08" w:rsidRDefault="004D33A5" w:rsidP="004D33A5">
      <w:pPr>
        <w:numPr>
          <w:ilvl w:val="0"/>
          <w:numId w:val="26"/>
        </w:numPr>
        <w:ind w:left="0"/>
        <w:jc w:val="both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Arial"/>
        </w:rPr>
        <w:t>486/16 o pow. 0,4939 ha obręb Piotrowice oznaczona w ewidencji gruntów symbolem Bi</w:t>
      </w:r>
    </w:p>
    <w:p w:rsidR="004D33A5" w:rsidRPr="007C226C" w:rsidRDefault="004D33A5" w:rsidP="004D33A5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7C226C">
        <w:rPr>
          <w:rFonts w:asciiTheme="minorHAnsi" w:hAnsiTheme="minorHAnsi" w:cs="Tahoma"/>
          <w:b/>
          <w:color w:val="000000" w:themeColor="text1"/>
        </w:rPr>
        <w:t xml:space="preserve">KW: </w:t>
      </w:r>
      <w:r w:rsidRPr="007C226C">
        <w:rPr>
          <w:rFonts w:asciiTheme="minorHAnsi" w:hAnsiTheme="minorHAnsi" w:cs="Tahoma"/>
          <w:color w:val="000000" w:themeColor="text1"/>
        </w:rPr>
        <w:t xml:space="preserve">WR1S/00021615/4 </w:t>
      </w:r>
    </w:p>
    <w:p w:rsidR="004D33A5" w:rsidRPr="00F06C5C" w:rsidRDefault="004D33A5" w:rsidP="004D33A5">
      <w:pPr>
        <w:jc w:val="both"/>
        <w:rPr>
          <w:rFonts w:asciiTheme="minorHAnsi" w:hAnsiTheme="minorHAnsi" w:cs="Tahoma"/>
          <w:b/>
        </w:rPr>
      </w:pPr>
      <w:r w:rsidRPr="00F06C5C">
        <w:rPr>
          <w:rFonts w:asciiTheme="minorHAnsi" w:hAnsiTheme="minorHAnsi" w:cs="Tahoma"/>
          <w:b/>
        </w:rPr>
        <w:t xml:space="preserve">Pow. w ha: </w:t>
      </w:r>
      <w:r>
        <w:rPr>
          <w:rFonts w:asciiTheme="minorHAnsi" w:hAnsiTheme="minorHAnsi" w:cs="Tahoma"/>
        </w:rPr>
        <w:t>0,4939</w:t>
      </w:r>
      <w:r w:rsidRPr="00F06C5C">
        <w:rPr>
          <w:rFonts w:asciiTheme="minorHAnsi" w:hAnsiTheme="minorHAnsi" w:cs="Tahoma"/>
        </w:rPr>
        <w:t xml:space="preserve"> ha  </w:t>
      </w:r>
    </w:p>
    <w:p w:rsidR="004D33A5" w:rsidRPr="003D22C0" w:rsidRDefault="004D33A5" w:rsidP="004D33A5">
      <w:pPr>
        <w:jc w:val="both"/>
        <w:rPr>
          <w:rFonts w:asciiTheme="minorHAnsi" w:hAnsiTheme="minorHAnsi" w:cs="Tahoma"/>
        </w:rPr>
      </w:pPr>
      <w:r w:rsidRPr="00C302AA">
        <w:rPr>
          <w:rFonts w:asciiTheme="minorHAnsi" w:hAnsiTheme="minorHAnsi" w:cs="Tahoma"/>
          <w:b/>
        </w:rPr>
        <w:t xml:space="preserve">Opis nieruchomości: </w:t>
      </w:r>
      <w:r>
        <w:rPr>
          <w:rFonts w:asciiTheme="minorHAnsi" w:hAnsiTheme="minorHAnsi" w:cs="Tahoma"/>
        </w:rPr>
        <w:t>Nieruchomość zabudowana jest zespołem obiektów 1 i 2 kondygnacyjnych w zabudowie wolnostojącej i zwartej po byłej cukrowni. Na działce znajduje się hala produkcyjno-magazynowa z zapleczem socjalnym i biurowym, budynek produkcyjno-magazynowy, budynek sześciokątny (dawny silos), wysoki, ceglany, wolnostojący komin o wysokości około 37,5 m. Łączna powierzchnia użytkowa budynków znajdujących się na działce wynosi ok. 1 774,63 m², Działka położona jest na skraju wsi, przy drodze o nawierzchni utwardzonej. Nieruchomość jest nieogrodzona, posiada place i nawierzchnie utwardzone, część nieutwardzoną porośniętą roślinnością trawiastą. Nieruchomość, posiada korzystną lokalizację ogólną i szczegółową, dobry dostęp do dróg publ</w:t>
      </w:r>
      <w:r w:rsidR="00687DA3">
        <w:rPr>
          <w:rFonts w:asciiTheme="minorHAnsi" w:hAnsiTheme="minorHAnsi" w:cs="Tahoma"/>
        </w:rPr>
        <w:t xml:space="preserve">icznych (niedaleko autostrada), brak kanalizacji sanitarnej w obszarze w którym zlokalizowana jest przedmiotowa działka, nieruchomość ma stworzone warunki do przyłączenia do sieci wodociągowej, celem przyłączenia niezbędne jest wykonanie przyłącza do sieci wodociągowej zlokalizowanej w drodze gminnej, prawdopodobnie w działce </w:t>
      </w:r>
      <w:proofErr w:type="spellStart"/>
      <w:r w:rsidR="00687DA3">
        <w:rPr>
          <w:rFonts w:asciiTheme="minorHAnsi" w:hAnsiTheme="minorHAnsi" w:cs="Tahoma"/>
        </w:rPr>
        <w:t>oznaczonj</w:t>
      </w:r>
      <w:proofErr w:type="spellEnd"/>
      <w:r w:rsidR="00687DA3">
        <w:rPr>
          <w:rFonts w:asciiTheme="minorHAnsi" w:hAnsiTheme="minorHAnsi" w:cs="Tahoma"/>
        </w:rPr>
        <w:t xml:space="preserve"> nr ewidencyjnym 486/38.</w:t>
      </w:r>
    </w:p>
    <w:p w:rsidR="004D33A5" w:rsidRPr="00D26F00" w:rsidRDefault="004D33A5" w:rsidP="004D33A5">
      <w:pPr>
        <w:jc w:val="both"/>
        <w:rPr>
          <w:rFonts w:asciiTheme="minorHAnsi" w:hAnsiTheme="minorHAnsi" w:cs="Tahoma"/>
          <w:b/>
        </w:rPr>
      </w:pPr>
      <w:r w:rsidRPr="00D26F00">
        <w:rPr>
          <w:rFonts w:asciiTheme="minorHAnsi" w:hAnsiTheme="minorHAnsi" w:cs="Tahoma"/>
          <w:b/>
        </w:rPr>
        <w:t xml:space="preserve">Przeznaczenie nieruchomości i sposób jej zagospodarowania: </w:t>
      </w:r>
      <w:r>
        <w:rPr>
          <w:rFonts w:asciiTheme="minorHAnsi" w:hAnsiTheme="minorHAnsi" w:cs="Tahoma"/>
        </w:rPr>
        <w:t xml:space="preserve">Na obszarze, na którym znajduje się działka 486/16 obręb Piotrowice, nie ma obowiązującego miejscowego planu zagospodarowania przestrzennego. Dla tego obszaru obowiązuje studium uwarunkowań i kierunków zagospodarowania przestrzennego  gminy Kostomłoty zatwierdzonego uchwałą Nr L/247/10 Rady Gminy Kostomłoty z dnia 29 marca 2010 r., oraz zmiana studium uwarunkowań i kierunków zagospodarowania przestrzennego gminy Kostomłoty zatwierdzona  uchwałą Nr XXXV/130/12 Rady Gminy Kostomłoty z dnia 30 lipca 2012 r. Działka leży na obszarze oznaczonym symbolem AG- tereny aktywności gospodarczej i usługowo produkcyjnej, strefa B ochrony konserwatorskiej, strefowa OW obserwacji archeologicznej. Dnia 23.10.2008 r. została wydana decyzja o warunkach zabudowy  dla inwestycji polegającej na ustaleniu funkcji zagospodarowania terenu na działce nr 486/16 we wsi Piotrowice pod działalność gospodarczą (przemysłowo – usługową). </w:t>
      </w:r>
    </w:p>
    <w:p w:rsidR="004D33A5" w:rsidRDefault="004D33A5" w:rsidP="004D33A5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cena wywoławcza  netto - </w:t>
      </w:r>
      <w:r w:rsidRPr="004D33A5">
        <w:rPr>
          <w:rFonts w:asciiTheme="minorHAnsi" w:hAnsiTheme="minorHAnsi" w:cs="Tahoma"/>
          <w:b/>
        </w:rPr>
        <w:t>94 582,00 zł</w:t>
      </w:r>
    </w:p>
    <w:p w:rsidR="004D33A5" w:rsidRDefault="004D33A5" w:rsidP="004D33A5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wadium –</w:t>
      </w:r>
      <w:r w:rsidR="00E411B0">
        <w:rPr>
          <w:rFonts w:asciiTheme="minorHAnsi" w:hAnsiTheme="minorHAnsi" w:cs="Tahoma"/>
          <w:b/>
        </w:rPr>
        <w:t xml:space="preserve"> 18 000,00 zł</w:t>
      </w:r>
    </w:p>
    <w:p w:rsidR="004D33A5" w:rsidRDefault="004D33A5" w:rsidP="004D33A5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minimalne postąpienie- </w:t>
      </w:r>
      <w:r w:rsidR="00E411B0">
        <w:rPr>
          <w:rFonts w:asciiTheme="minorHAnsi" w:hAnsiTheme="minorHAnsi" w:cs="Tahoma"/>
          <w:b/>
        </w:rPr>
        <w:t>950,00 zł</w:t>
      </w:r>
    </w:p>
    <w:p w:rsidR="00A631C1" w:rsidRPr="00A631C1" w:rsidRDefault="00A631C1" w:rsidP="004D33A5">
      <w:pPr>
        <w:jc w:val="both"/>
        <w:rPr>
          <w:rFonts w:asciiTheme="minorHAnsi" w:hAnsiTheme="minorHAnsi" w:cs="Tahoma"/>
          <w:u w:val="single"/>
        </w:rPr>
      </w:pPr>
      <w:r>
        <w:rPr>
          <w:rFonts w:asciiTheme="minorHAnsi" w:hAnsiTheme="minorHAnsi" w:cs="Tahoma"/>
          <w:u w:val="single"/>
        </w:rPr>
        <w:t>D</w:t>
      </w:r>
      <w:r w:rsidRPr="00A631C1">
        <w:rPr>
          <w:rFonts w:asciiTheme="minorHAnsi" w:hAnsiTheme="minorHAnsi" w:cs="Tahoma"/>
          <w:u w:val="single"/>
        </w:rPr>
        <w:t xml:space="preserve">o ceny zostanie doliczony podatek </w:t>
      </w:r>
      <w:proofErr w:type="spellStart"/>
      <w:r w:rsidRPr="00A631C1">
        <w:rPr>
          <w:rFonts w:asciiTheme="minorHAnsi" w:hAnsiTheme="minorHAnsi" w:cs="Tahoma"/>
          <w:u w:val="single"/>
        </w:rPr>
        <w:t>Vat</w:t>
      </w:r>
      <w:proofErr w:type="spellEnd"/>
      <w:r w:rsidRPr="00A631C1">
        <w:rPr>
          <w:rFonts w:asciiTheme="minorHAnsi" w:hAnsiTheme="minorHAnsi" w:cs="Tahoma"/>
          <w:u w:val="single"/>
        </w:rPr>
        <w:t xml:space="preserve"> w wysokości 23 %. </w:t>
      </w:r>
    </w:p>
    <w:p w:rsidR="004D33A5" w:rsidRPr="00642D08" w:rsidRDefault="004D33A5" w:rsidP="004D33A5">
      <w:pPr>
        <w:pBdr>
          <w:bottom w:val="single" w:sz="4" w:space="1" w:color="auto"/>
        </w:pBdr>
        <w:jc w:val="center"/>
        <w:rPr>
          <w:rFonts w:asciiTheme="minorHAnsi" w:hAnsiTheme="minorHAnsi" w:cs="Tahoma"/>
        </w:rPr>
      </w:pPr>
    </w:p>
    <w:p w:rsidR="004D33A5" w:rsidRPr="006C5C2E" w:rsidRDefault="004D33A5" w:rsidP="00A631C1">
      <w:pPr>
        <w:pStyle w:val="Akapitzlist"/>
        <w:numPr>
          <w:ilvl w:val="0"/>
          <w:numId w:val="26"/>
        </w:numPr>
        <w:ind w:left="0"/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82/4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0,0600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Godków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Ps</w:t>
      </w:r>
      <w:proofErr w:type="spellEnd"/>
      <w:r>
        <w:rPr>
          <w:rFonts w:asciiTheme="minorHAnsi" w:hAnsiTheme="minorHAnsi" w:cs="Arial"/>
        </w:rPr>
        <w:t xml:space="preserve"> II</w:t>
      </w:r>
    </w:p>
    <w:p w:rsidR="004D33A5" w:rsidRPr="00642D08" w:rsidRDefault="004D33A5" w:rsidP="004D33A5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11778/1</w:t>
      </w:r>
    </w:p>
    <w:p w:rsidR="004D33A5" w:rsidRPr="00642D08" w:rsidRDefault="004D33A5" w:rsidP="004D33A5">
      <w:pPr>
        <w:jc w:val="both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 xml:space="preserve">Pow. w ha: </w:t>
      </w:r>
      <w:r>
        <w:rPr>
          <w:rFonts w:asciiTheme="minorHAnsi" w:hAnsiTheme="minorHAnsi" w:cs="Tahoma"/>
        </w:rPr>
        <w:t xml:space="preserve">0,0600 ha </w:t>
      </w:r>
      <w:r w:rsidRPr="00642D08">
        <w:rPr>
          <w:rFonts w:asciiTheme="minorHAnsi" w:hAnsiTheme="minorHAnsi" w:cs="Tahoma"/>
        </w:rPr>
        <w:t xml:space="preserve"> </w:t>
      </w:r>
    </w:p>
    <w:p w:rsidR="009C1D4B" w:rsidRPr="00EF14F9" w:rsidRDefault="004D33A5" w:rsidP="009C1D4B">
      <w:pPr>
        <w:pStyle w:val="Akapitzlist"/>
        <w:jc w:val="both"/>
        <w:rPr>
          <w:rFonts w:ascii="Calibri" w:hAnsi="Calibri" w:cs="Tahoma"/>
          <w:b/>
        </w:rPr>
      </w:pPr>
      <w:r w:rsidRPr="004426A1">
        <w:rPr>
          <w:rFonts w:asciiTheme="minorHAnsi" w:hAnsiTheme="minorHAnsi" w:cs="Tahoma"/>
          <w:b/>
        </w:rPr>
        <w:t xml:space="preserve">Opis nieruchomości: </w:t>
      </w:r>
      <w:r w:rsidRPr="004426A1">
        <w:rPr>
          <w:rFonts w:asciiTheme="minorHAnsi" w:hAnsiTheme="minorHAnsi" w:cs="Tahoma"/>
        </w:rPr>
        <w:t>Działka nr 82/4 obręb Godków  jest niezabudowana. Położona na skraju wsi. Najbliższe sąsiedztwo stanowi zabudowa zagrodowa, mieszkaniowa jednorodzinna oraz grunty rolne. Dział</w:t>
      </w:r>
      <w:r>
        <w:rPr>
          <w:rFonts w:asciiTheme="minorHAnsi" w:hAnsiTheme="minorHAnsi" w:cs="Tahoma"/>
        </w:rPr>
        <w:t>ka</w:t>
      </w:r>
      <w:r w:rsidRPr="004426A1">
        <w:rPr>
          <w:rFonts w:asciiTheme="minorHAnsi" w:hAnsiTheme="minorHAnsi" w:cs="Tahoma"/>
        </w:rPr>
        <w:t xml:space="preserve"> ma dostęp do drogi publicznej o nawierzchni asfaltowej. Wjazd na teren działki możliwy jest bezpośrednio z przyległej drogi. Działka ma kształt regularny, zbliżony do trapezu. Jej granice nie s</w:t>
      </w:r>
      <w:r w:rsidR="00A631C1">
        <w:rPr>
          <w:rFonts w:asciiTheme="minorHAnsi" w:hAnsiTheme="minorHAnsi" w:cs="Tahoma"/>
        </w:rPr>
        <w:t>ą</w:t>
      </w:r>
      <w:r w:rsidRPr="004426A1">
        <w:rPr>
          <w:rFonts w:asciiTheme="minorHAnsi" w:hAnsiTheme="minorHAnsi" w:cs="Tahoma"/>
        </w:rPr>
        <w:t xml:space="preserve"> ogrodzone. Teren w granicach działki posiada w całości nawierzchnię gruntową, gęsto porośniętą ro</w:t>
      </w:r>
      <w:r w:rsidR="00A631C1">
        <w:rPr>
          <w:rFonts w:asciiTheme="minorHAnsi" w:hAnsiTheme="minorHAnsi" w:cs="Tahoma"/>
        </w:rPr>
        <w:t>ślinnością trawiastą,</w:t>
      </w:r>
      <w:r w:rsidRPr="004426A1">
        <w:rPr>
          <w:rFonts w:asciiTheme="minorHAnsi" w:hAnsiTheme="minorHAnsi" w:cs="Tahoma"/>
        </w:rPr>
        <w:t xml:space="preserve"> krzakami oraz samosiewem drzew. </w:t>
      </w:r>
      <w:r>
        <w:rPr>
          <w:rFonts w:asciiTheme="minorHAnsi" w:hAnsiTheme="minorHAnsi" w:cs="Tahoma"/>
        </w:rPr>
        <w:t xml:space="preserve">Działka położna jest na obszarze o płaskim ukształtowaniu terenu i dobrych warunkach geotechnicznych. Przy granicy działki znajduje </w:t>
      </w:r>
      <w:r>
        <w:rPr>
          <w:rFonts w:asciiTheme="minorHAnsi" w:hAnsiTheme="minorHAnsi" w:cs="Tahoma"/>
        </w:rPr>
        <w:lastRenderedPageBreak/>
        <w:t>się hydrant. Przedmiotowa działka nie posiada wybudowanych przyłączy do sieci infrastruktury technicznej, jednak dostęp do tych sieci jest dobry – w pobliżu działki znajduje się sieć elektryczna, wodociągowa. Lokalizacja ogólna gruntów jest przeciętna.</w:t>
      </w:r>
      <w:r w:rsidR="00687DA3">
        <w:rPr>
          <w:rFonts w:asciiTheme="minorHAnsi" w:hAnsiTheme="minorHAnsi" w:cs="Tahoma"/>
        </w:rPr>
        <w:t xml:space="preserve"> Brak kanalizacji sanitarnej na terenie miejscowości Godków, nieruchomość ma stworzone warunki do przyłączenia do sieci wodociągowej, celem przyłączenia </w:t>
      </w:r>
      <w:r w:rsidR="000558A2">
        <w:rPr>
          <w:rFonts w:asciiTheme="minorHAnsi" w:hAnsiTheme="minorHAnsi" w:cs="Tahoma"/>
        </w:rPr>
        <w:t xml:space="preserve">niezbędne jest wykonanie przyłącza do sieci wodociągowej, która zlokalizowana jest na terenie przedmiotowej działki. </w:t>
      </w:r>
      <w:r w:rsidR="009C1D4B" w:rsidRPr="009C1D4B">
        <w:rPr>
          <w:rFonts w:ascii="Calibri" w:hAnsi="Calibri" w:cs="Tahoma"/>
          <w:b/>
        </w:rPr>
        <w:t>Na przedmiotowej działce zlokalizowane są urządzenia wodociągowe, któr</w:t>
      </w:r>
      <w:r w:rsidR="00EF14F9">
        <w:rPr>
          <w:rFonts w:ascii="Calibri" w:hAnsi="Calibri" w:cs="Tahoma"/>
          <w:b/>
        </w:rPr>
        <w:t>ych</w:t>
      </w:r>
      <w:r w:rsidR="009C1D4B" w:rsidRPr="009C1D4B">
        <w:rPr>
          <w:rFonts w:ascii="Calibri" w:hAnsi="Calibri" w:cs="Tahoma"/>
          <w:b/>
        </w:rPr>
        <w:t xml:space="preserve"> właścicielem jest Gmina Kostomłoty. W momencie sprzedaży nieruchomości</w:t>
      </w:r>
      <w:r w:rsidR="00EF14F9">
        <w:rPr>
          <w:rFonts w:ascii="Calibri" w:hAnsi="Calibri" w:cs="Tahoma"/>
          <w:b/>
        </w:rPr>
        <w:t xml:space="preserve"> na przedmiotowej działce</w:t>
      </w:r>
      <w:r w:rsidR="009C1D4B" w:rsidRPr="009C1D4B">
        <w:rPr>
          <w:rFonts w:ascii="Calibri" w:hAnsi="Calibri" w:cs="Tahoma"/>
          <w:b/>
        </w:rPr>
        <w:t xml:space="preserve"> zostanie ustanowiona nieodpłatna i nieograniczona w czasie służebność przesyłu na rzecz właściciela urządzeń przesyłowych (Gmina), w którego imieniu działało będzie przedsiębiorstwo przesyłowe (ZGK </w:t>
      </w:r>
      <w:r w:rsidR="00EF14F9">
        <w:rPr>
          <w:rFonts w:ascii="Calibri" w:hAnsi="Calibri" w:cs="Tahoma"/>
          <w:b/>
        </w:rPr>
        <w:t xml:space="preserve">w </w:t>
      </w:r>
      <w:r w:rsidR="009C1D4B" w:rsidRPr="009C1D4B">
        <w:rPr>
          <w:rFonts w:ascii="Calibri" w:hAnsi="Calibri" w:cs="Tahoma"/>
          <w:b/>
        </w:rPr>
        <w:t>Kostomłot</w:t>
      </w:r>
      <w:r w:rsidR="00EF14F9">
        <w:rPr>
          <w:rFonts w:ascii="Calibri" w:hAnsi="Calibri" w:cs="Tahoma"/>
          <w:b/>
        </w:rPr>
        <w:t>ach</w:t>
      </w:r>
      <w:r w:rsidR="009C1D4B" w:rsidRPr="009C1D4B">
        <w:rPr>
          <w:rFonts w:ascii="Calibri" w:hAnsi="Calibri" w:cs="Tahoma"/>
          <w:b/>
        </w:rPr>
        <w:t xml:space="preserve">). Przedmiotowa służebność polegać będzie w szczególności na: prawie korzystania z przebiegających przez działkę nr </w:t>
      </w:r>
      <w:r w:rsidR="009C1D4B" w:rsidRPr="00EF14F9">
        <w:rPr>
          <w:rFonts w:ascii="Calibri" w:hAnsi="Calibri" w:cs="Tahoma"/>
          <w:b/>
        </w:rPr>
        <w:t xml:space="preserve">82/4 urządzeń przesyłowych wraz z  prawem dostępu do tych urządzeń w celu ich prawidłowej eksploatacji, w tym: dokonywania przeglądów, pomiarów, konserwacji, modernizacji i remontów jak również wymiany urządzeń na nowe o średnicach nie większych niż istniejące w dniu sprzedaży działki nr 82/4 obręb Godków. Dodatkowo </w:t>
      </w:r>
      <w:proofErr w:type="spellStart"/>
      <w:r w:rsidR="009C1D4B" w:rsidRPr="00EF14F9">
        <w:rPr>
          <w:rFonts w:ascii="Calibri" w:hAnsi="Calibri" w:cs="Tahoma"/>
          <w:b/>
        </w:rPr>
        <w:t>każdoczesnego</w:t>
      </w:r>
      <w:proofErr w:type="spellEnd"/>
      <w:r w:rsidR="009C1D4B" w:rsidRPr="00EF14F9">
        <w:rPr>
          <w:rFonts w:ascii="Calibri" w:hAnsi="Calibri" w:cs="Tahoma"/>
          <w:b/>
        </w:rPr>
        <w:t xml:space="preserve"> właściciela działki nr 82/4 obręb Godków obowiązywać będzie ograniczenie w postaci powstrzymywania się przed zabudową lub trwałym urządzeniem terenu objętego służebnością. </w:t>
      </w:r>
      <w:r w:rsidR="00E8361B">
        <w:rPr>
          <w:rFonts w:ascii="Calibri" w:hAnsi="Calibri" w:cs="Tahoma"/>
          <w:b/>
        </w:rPr>
        <w:t xml:space="preserve">Obszar objęty </w:t>
      </w:r>
      <w:r w:rsidR="009C1D4B" w:rsidRPr="00EF14F9">
        <w:rPr>
          <w:rFonts w:ascii="Calibri" w:hAnsi="Calibri" w:cs="Tahoma"/>
          <w:b/>
        </w:rPr>
        <w:t>służebności</w:t>
      </w:r>
      <w:r w:rsidR="00E8361B">
        <w:rPr>
          <w:rFonts w:ascii="Calibri" w:hAnsi="Calibri" w:cs="Tahoma"/>
          <w:b/>
        </w:rPr>
        <w:t>ą</w:t>
      </w:r>
      <w:r w:rsidR="009C1D4B" w:rsidRPr="00EF14F9">
        <w:rPr>
          <w:rFonts w:ascii="Calibri" w:hAnsi="Calibri" w:cs="Tahoma"/>
          <w:b/>
        </w:rPr>
        <w:t xml:space="preserve"> oznaczony zo</w:t>
      </w:r>
      <w:r w:rsidR="00E8361B">
        <w:rPr>
          <w:rFonts w:ascii="Calibri" w:hAnsi="Calibri" w:cs="Tahoma"/>
          <w:b/>
        </w:rPr>
        <w:t>stanie na załączniku graficznym do aktu notarialnego.</w:t>
      </w:r>
      <w:r w:rsidR="009C1D4B" w:rsidRPr="00EF14F9">
        <w:rPr>
          <w:rFonts w:ascii="Calibri" w:hAnsi="Calibri" w:cs="Tahoma"/>
          <w:b/>
        </w:rPr>
        <w:t xml:space="preserve"> </w:t>
      </w:r>
    </w:p>
    <w:p w:rsidR="004D33A5" w:rsidRDefault="004D33A5" w:rsidP="004D33A5">
      <w:pPr>
        <w:jc w:val="both"/>
        <w:rPr>
          <w:rFonts w:asciiTheme="minorHAnsi" w:hAnsiTheme="minorHAnsi" w:cs="Tahoma"/>
        </w:rPr>
      </w:pPr>
    </w:p>
    <w:p w:rsidR="004D33A5" w:rsidRPr="007D7337" w:rsidRDefault="004D33A5" w:rsidP="004D33A5">
      <w:pPr>
        <w:jc w:val="both"/>
        <w:rPr>
          <w:rFonts w:asciiTheme="minorHAnsi" w:hAnsiTheme="minorHAnsi" w:cs="Tahoma"/>
          <w:b/>
        </w:rPr>
      </w:pPr>
      <w:r w:rsidRPr="007D7337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7D7337">
        <w:rPr>
          <w:rFonts w:asciiTheme="minorHAnsi" w:hAnsiTheme="minorHAnsi" w:cs="Tahoma"/>
        </w:rPr>
        <w:t>Zgodnie z obowiązującym miejscowym planem zagospodarowania przestrzennego wsi Godków  przedmiotowa działka leży na terenie przeznaczonym pod tereny zabudowy mieszkaniowej o charakterze wiejskim i zabudowy usługowe.</w:t>
      </w:r>
    </w:p>
    <w:p w:rsidR="00A631C1" w:rsidRDefault="00A631C1" w:rsidP="00A631C1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cena wywoławcza  netto – 23 088,00</w:t>
      </w:r>
      <w:r w:rsidRPr="004D33A5">
        <w:rPr>
          <w:rFonts w:asciiTheme="minorHAnsi" w:hAnsiTheme="minorHAnsi" w:cs="Tahoma"/>
          <w:b/>
        </w:rPr>
        <w:t xml:space="preserve"> zł</w:t>
      </w:r>
    </w:p>
    <w:p w:rsidR="00A631C1" w:rsidRDefault="00A631C1" w:rsidP="00A631C1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wadium –</w:t>
      </w:r>
      <w:r w:rsidR="00E411B0">
        <w:rPr>
          <w:rFonts w:asciiTheme="minorHAnsi" w:hAnsiTheme="minorHAnsi" w:cs="Tahoma"/>
          <w:b/>
        </w:rPr>
        <w:t xml:space="preserve"> 4 600,00 zł</w:t>
      </w:r>
    </w:p>
    <w:p w:rsidR="00A631C1" w:rsidRDefault="00A631C1" w:rsidP="00A631C1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minimalne postąpienie- </w:t>
      </w:r>
      <w:r w:rsidR="00E411B0">
        <w:rPr>
          <w:rFonts w:asciiTheme="minorHAnsi" w:hAnsiTheme="minorHAnsi" w:cs="Tahoma"/>
          <w:b/>
        </w:rPr>
        <w:t xml:space="preserve">240,00 zł </w:t>
      </w:r>
    </w:p>
    <w:p w:rsidR="00A631C1" w:rsidRPr="00A631C1" w:rsidRDefault="00A631C1" w:rsidP="00A631C1">
      <w:pPr>
        <w:jc w:val="both"/>
        <w:rPr>
          <w:rFonts w:asciiTheme="minorHAnsi" w:hAnsiTheme="minorHAnsi" w:cs="Tahoma"/>
          <w:u w:val="single"/>
        </w:rPr>
      </w:pPr>
      <w:r>
        <w:rPr>
          <w:rFonts w:asciiTheme="minorHAnsi" w:hAnsiTheme="minorHAnsi" w:cs="Tahoma"/>
          <w:u w:val="single"/>
        </w:rPr>
        <w:t>D</w:t>
      </w:r>
      <w:r w:rsidRPr="00A631C1">
        <w:rPr>
          <w:rFonts w:asciiTheme="minorHAnsi" w:hAnsiTheme="minorHAnsi" w:cs="Tahoma"/>
          <w:u w:val="single"/>
        </w:rPr>
        <w:t xml:space="preserve">o ceny zostanie doliczony podatek </w:t>
      </w:r>
      <w:proofErr w:type="spellStart"/>
      <w:r w:rsidRPr="00A631C1">
        <w:rPr>
          <w:rFonts w:asciiTheme="minorHAnsi" w:hAnsiTheme="minorHAnsi" w:cs="Tahoma"/>
          <w:u w:val="single"/>
        </w:rPr>
        <w:t>Vat</w:t>
      </w:r>
      <w:proofErr w:type="spellEnd"/>
      <w:r w:rsidRPr="00A631C1">
        <w:rPr>
          <w:rFonts w:asciiTheme="minorHAnsi" w:hAnsiTheme="minorHAnsi" w:cs="Tahoma"/>
          <w:u w:val="single"/>
        </w:rPr>
        <w:t xml:space="preserve"> w wysokości 23 %. </w:t>
      </w:r>
    </w:p>
    <w:p w:rsidR="00257401" w:rsidRPr="00C753E1" w:rsidRDefault="00257401" w:rsidP="007C51FE">
      <w:pPr>
        <w:jc w:val="both"/>
        <w:rPr>
          <w:rFonts w:ascii="Calibri" w:hAnsi="Calibri"/>
          <w:u w:val="single"/>
        </w:rPr>
      </w:pPr>
    </w:p>
    <w:p w:rsidR="004238B6" w:rsidRPr="00C753E1" w:rsidRDefault="006543A8" w:rsidP="007C51FE">
      <w:pPr>
        <w:tabs>
          <w:tab w:val="left" w:pos="195"/>
        </w:tabs>
        <w:jc w:val="both"/>
        <w:rPr>
          <w:rFonts w:ascii="Calibri" w:hAnsi="Calibri" w:cs="Tahoma"/>
        </w:rPr>
      </w:pPr>
      <w:r w:rsidRPr="00C753E1">
        <w:rPr>
          <w:rFonts w:ascii="Calibri" w:hAnsi="Calibri" w:cs="Tahoma"/>
        </w:rPr>
        <w:t xml:space="preserve">Dla w/w nieruchomości brak możliwości rozłożenia na raty ceny sprzedaży. </w:t>
      </w:r>
    </w:p>
    <w:p w:rsidR="00514CEE" w:rsidRPr="00C753E1" w:rsidRDefault="000048AB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Oględzin nieruchomości można dokonać w godzinach pracy Urzędu Gminy Kostomłoty po wcześniejszym umówieniu telefonicznym</w:t>
      </w:r>
      <w:r w:rsidR="007A36B5" w:rsidRPr="00C753E1">
        <w:rPr>
          <w:rFonts w:ascii="Calibri" w:hAnsi="Calibri"/>
        </w:rPr>
        <w:t xml:space="preserve"> z pracownikiem Urzędu Gminy Kostomłoty</w:t>
      </w:r>
      <w:r w:rsidRPr="00C753E1">
        <w:rPr>
          <w:rFonts w:ascii="Calibri" w:hAnsi="Calibri"/>
        </w:rPr>
        <w:t xml:space="preserve">. W przetargu mogą uczestniczyć krajowe i zagraniczne osoby fizyczne i prawne. </w:t>
      </w:r>
      <w:r w:rsidRPr="00F72C63">
        <w:rPr>
          <w:rFonts w:ascii="Calibri" w:hAnsi="Calibr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F72C63">
        <w:rPr>
          <w:rFonts w:ascii="Calibri" w:hAnsi="Calibri"/>
          <w:color w:val="000000" w:themeColor="text1"/>
          <w:u w:val="single"/>
        </w:rPr>
        <w:t xml:space="preserve">niedopuszczenia do przetargu, </w:t>
      </w:r>
      <w:r w:rsidRPr="00F72C63">
        <w:rPr>
          <w:rFonts w:ascii="Calibri" w:hAnsi="Calibr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C753E1">
        <w:rPr>
          <w:rFonts w:ascii="Calibri" w:hAnsi="Calibr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C753E1" w:rsidRDefault="00472B2C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Przetarg odbędzie się </w:t>
      </w:r>
      <w:r w:rsidRPr="00C753E1">
        <w:rPr>
          <w:rFonts w:ascii="Calibri" w:hAnsi="Calibri"/>
          <w:b/>
        </w:rPr>
        <w:t xml:space="preserve">dnia </w:t>
      </w:r>
      <w:r w:rsidR="00E411B0">
        <w:rPr>
          <w:rFonts w:ascii="Calibri" w:hAnsi="Calibri"/>
          <w:b/>
        </w:rPr>
        <w:t>17.09.2015</w:t>
      </w:r>
      <w:r w:rsidR="00A14CA2">
        <w:rPr>
          <w:rFonts w:ascii="Calibri" w:hAnsi="Calibri"/>
          <w:b/>
        </w:rPr>
        <w:t xml:space="preserve"> </w:t>
      </w:r>
      <w:r w:rsidRPr="00C753E1">
        <w:rPr>
          <w:rFonts w:ascii="Calibri" w:hAnsi="Calibri"/>
          <w:b/>
        </w:rPr>
        <w:t>o</w:t>
      </w:r>
      <w:r w:rsidR="001D1409" w:rsidRPr="00C753E1">
        <w:rPr>
          <w:rFonts w:ascii="Calibri" w:hAnsi="Calibri"/>
          <w:b/>
        </w:rPr>
        <w:t>d</w:t>
      </w:r>
      <w:r w:rsidRPr="00C753E1">
        <w:rPr>
          <w:rFonts w:ascii="Calibri" w:hAnsi="Calibri"/>
          <w:b/>
        </w:rPr>
        <w:t xml:space="preserve"> godz. 10:00</w:t>
      </w:r>
      <w:r w:rsidR="008518CB" w:rsidRPr="00C753E1">
        <w:rPr>
          <w:rFonts w:ascii="Calibri" w:hAnsi="Calibri"/>
        </w:rPr>
        <w:t xml:space="preserve"> </w:t>
      </w:r>
      <w:r w:rsidR="001D1409" w:rsidRPr="00C753E1">
        <w:rPr>
          <w:rFonts w:ascii="Calibri" w:hAnsi="Calibri"/>
        </w:rPr>
        <w:t xml:space="preserve">wg w/w kolejności </w:t>
      </w:r>
      <w:r w:rsidR="008518CB" w:rsidRPr="00C753E1">
        <w:rPr>
          <w:rFonts w:ascii="Calibri" w:hAnsi="Calibri"/>
        </w:rPr>
        <w:t>w Urzędzie Gminy Kostomłoty</w:t>
      </w:r>
      <w:r w:rsidRPr="00C753E1">
        <w:rPr>
          <w:rFonts w:ascii="Calibri" w:hAnsi="Calibri"/>
        </w:rPr>
        <w:t xml:space="preserve">. </w:t>
      </w:r>
      <w:r w:rsidR="00895264" w:rsidRPr="00C753E1">
        <w:rPr>
          <w:rFonts w:ascii="Calibri" w:hAnsi="Calibri"/>
        </w:rPr>
        <w:t xml:space="preserve">Warunkiem uczestniczenia w przetargu jest wpłacenie wadium </w:t>
      </w:r>
      <w:r w:rsidR="000546F4" w:rsidRPr="00C753E1">
        <w:rPr>
          <w:rFonts w:ascii="Calibri" w:hAnsi="Calibri"/>
        </w:rPr>
        <w:t xml:space="preserve">w pieniądzu </w:t>
      </w:r>
      <w:r w:rsidR="00895264" w:rsidRPr="00C753E1">
        <w:rPr>
          <w:rFonts w:ascii="Calibri" w:hAnsi="Calibri"/>
        </w:rPr>
        <w:t>w wysokości pod</w:t>
      </w:r>
      <w:r w:rsidR="00825958" w:rsidRPr="00C753E1">
        <w:rPr>
          <w:rFonts w:ascii="Calibri" w:hAnsi="Calibri"/>
        </w:rPr>
        <w:t>anej w ogłoszeniu</w:t>
      </w:r>
      <w:r w:rsidR="0036103D" w:rsidRPr="00C753E1">
        <w:rPr>
          <w:rFonts w:ascii="Calibri" w:hAnsi="Calibri"/>
        </w:rPr>
        <w:t>. Wpłata musi nastąpić</w:t>
      </w:r>
      <w:r w:rsidR="00895264" w:rsidRPr="00C753E1">
        <w:rPr>
          <w:rFonts w:ascii="Calibri" w:hAnsi="Calibri"/>
        </w:rPr>
        <w:t xml:space="preserve"> najpóźniej </w:t>
      </w:r>
      <w:r w:rsidR="00895264" w:rsidRPr="00C753E1">
        <w:rPr>
          <w:rFonts w:ascii="Calibri" w:hAnsi="Calibri"/>
          <w:b/>
        </w:rPr>
        <w:t>do dnia</w:t>
      </w:r>
      <w:r w:rsidR="002B41D9" w:rsidRPr="00C753E1">
        <w:rPr>
          <w:rFonts w:ascii="Calibri" w:hAnsi="Calibri"/>
          <w:b/>
        </w:rPr>
        <w:t xml:space="preserve"> </w:t>
      </w:r>
      <w:r w:rsidR="00595089">
        <w:rPr>
          <w:rFonts w:ascii="Calibri" w:hAnsi="Calibri"/>
          <w:b/>
        </w:rPr>
        <w:t>1</w:t>
      </w:r>
      <w:r w:rsidR="00E411B0">
        <w:rPr>
          <w:rFonts w:ascii="Calibri" w:hAnsi="Calibri"/>
          <w:b/>
        </w:rPr>
        <w:t>1</w:t>
      </w:r>
      <w:r w:rsidR="00595089">
        <w:rPr>
          <w:rFonts w:ascii="Calibri" w:hAnsi="Calibri"/>
          <w:b/>
        </w:rPr>
        <w:t>.0</w:t>
      </w:r>
      <w:r w:rsidR="00E411B0">
        <w:rPr>
          <w:rFonts w:ascii="Calibri" w:hAnsi="Calibri"/>
          <w:b/>
        </w:rPr>
        <w:t>9</w:t>
      </w:r>
      <w:r w:rsidR="00595089">
        <w:rPr>
          <w:rFonts w:ascii="Calibri" w:hAnsi="Calibri"/>
          <w:b/>
        </w:rPr>
        <w:t>.2015</w:t>
      </w:r>
      <w:r w:rsidR="00E30AF1" w:rsidRPr="00C753E1">
        <w:rPr>
          <w:rFonts w:ascii="Calibri" w:hAnsi="Calibri"/>
          <w:b/>
        </w:rPr>
        <w:t xml:space="preserve"> </w:t>
      </w:r>
      <w:r w:rsidR="005230DC" w:rsidRPr="00C753E1">
        <w:rPr>
          <w:rFonts w:ascii="Calibri" w:hAnsi="Calibri"/>
          <w:b/>
        </w:rPr>
        <w:t>r.</w:t>
      </w:r>
      <w:r w:rsidR="00A14CA2">
        <w:rPr>
          <w:rFonts w:ascii="Calibri" w:hAnsi="Calibri"/>
          <w:b/>
        </w:rPr>
        <w:t xml:space="preserve"> </w:t>
      </w:r>
      <w:r w:rsidR="00895264" w:rsidRPr="00C753E1">
        <w:rPr>
          <w:rFonts w:ascii="Calibri" w:hAnsi="Calibri"/>
        </w:rPr>
        <w:t xml:space="preserve">na konto nr </w:t>
      </w:r>
      <w:r w:rsidR="00C11BFD" w:rsidRPr="00C753E1">
        <w:rPr>
          <w:rFonts w:ascii="Calibri" w:hAnsi="Calibri"/>
          <w:b/>
        </w:rPr>
        <w:t>17 9584 1106 2011 1101 0355 0003</w:t>
      </w:r>
      <w:r w:rsidR="00514CEE" w:rsidRPr="00C753E1">
        <w:rPr>
          <w:rFonts w:ascii="Calibri" w:hAnsi="Calibri"/>
          <w:b/>
        </w:rPr>
        <w:t xml:space="preserve"> </w:t>
      </w:r>
      <w:r w:rsidR="00895264" w:rsidRPr="00C753E1">
        <w:rPr>
          <w:rFonts w:ascii="Calibri" w:hAnsi="Calibri"/>
          <w:b/>
        </w:rPr>
        <w:t xml:space="preserve">Bank Spółdzielczy w </w:t>
      </w:r>
      <w:r w:rsidR="002B41D9" w:rsidRPr="00C753E1">
        <w:rPr>
          <w:rFonts w:ascii="Calibri" w:hAnsi="Calibri"/>
          <w:b/>
        </w:rPr>
        <w:t>Oleśnicy Oddział w Kostomłotach</w:t>
      </w:r>
      <w:r w:rsidR="000546F4" w:rsidRPr="00C753E1">
        <w:rPr>
          <w:rFonts w:ascii="Calibri" w:hAnsi="Calibri"/>
          <w:b/>
        </w:rPr>
        <w:t xml:space="preserve"> </w:t>
      </w:r>
      <w:r w:rsidR="0095080C" w:rsidRPr="00C753E1">
        <w:rPr>
          <w:rFonts w:ascii="Calibri" w:hAnsi="Calibri"/>
        </w:rPr>
        <w:t>wraz z podaniem numeru nieruchomości</w:t>
      </w:r>
      <w:r w:rsidR="00895264" w:rsidRPr="00C753E1">
        <w:rPr>
          <w:rFonts w:ascii="Calibri" w:hAnsi="Calibri"/>
        </w:rPr>
        <w:t>.</w:t>
      </w:r>
    </w:p>
    <w:p w:rsidR="00052B92" w:rsidRPr="00C753E1" w:rsidRDefault="00052B92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C753E1" w:rsidRDefault="00895264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Wadium wpłacone przez uczestników, którzy nie wygrali przetargu zostanie zwrócone niezwłocznie po</w:t>
      </w:r>
      <w:r w:rsidR="00825958" w:rsidRPr="00C753E1">
        <w:rPr>
          <w:rFonts w:ascii="Calibri" w:hAnsi="Calibri"/>
        </w:rPr>
        <w:t xml:space="preserve"> zakończeniu przetargu, a osobie wygrywającej</w:t>
      </w:r>
      <w:r w:rsidRPr="00C753E1">
        <w:rPr>
          <w:rFonts w:ascii="Calibri" w:hAnsi="Calibri"/>
        </w:rPr>
        <w:t xml:space="preserve"> przetarg zaliczone na poczet ceny nabycia.</w:t>
      </w:r>
    </w:p>
    <w:p w:rsidR="00A14CA2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lastRenderedPageBreak/>
        <w:t>Wadium ulega przepadkowi na rzecz Gminy Kostomłoty w wypadku, gdy osoba, która przetarg wygrała uchyli się od zawarcia umowy n</w:t>
      </w:r>
      <w:r w:rsidR="00472B2C" w:rsidRPr="00C753E1">
        <w:rPr>
          <w:rFonts w:ascii="Calibri" w:hAnsi="Calibri"/>
        </w:rPr>
        <w:t>otarialnej</w:t>
      </w:r>
      <w:r w:rsidRPr="00C753E1">
        <w:rPr>
          <w:rFonts w:ascii="Calibri" w:hAnsi="Calibri"/>
        </w:rPr>
        <w:t xml:space="preserve"> lub nie stawi się bez usprawiedliwienia w umówionym miejscu i czasie w kancelarii notarialnej.</w:t>
      </w:r>
      <w:r w:rsidR="00A14CA2">
        <w:rPr>
          <w:rFonts w:ascii="Calibri" w:hAnsi="Calibri"/>
        </w:rPr>
        <w:t xml:space="preserve"> Wójt Gminy Kostomłoty wyznacza w terminie 21 dni od dnia podpisania protokołu z przetargu</w:t>
      </w:r>
      <w:r w:rsidR="00275E76">
        <w:rPr>
          <w:rFonts w:ascii="Calibri" w:hAnsi="Calibri"/>
        </w:rPr>
        <w:t>,</w:t>
      </w:r>
      <w:r w:rsidR="00A14CA2">
        <w:rPr>
          <w:rFonts w:ascii="Calibri" w:hAnsi="Calibri"/>
        </w:rPr>
        <w:t xml:space="preserve"> termin podpisania umowy w Kancelarii Notarialnej. </w:t>
      </w:r>
    </w:p>
    <w:p w:rsidR="006543A8" w:rsidRPr="00C753E1" w:rsidRDefault="006543A8" w:rsidP="007C51FE">
      <w:pPr>
        <w:ind w:firstLine="540"/>
        <w:jc w:val="both"/>
        <w:rPr>
          <w:rFonts w:ascii="Calibri" w:hAnsi="Calibri"/>
          <w:b/>
          <w:u w:val="single"/>
        </w:rPr>
      </w:pPr>
      <w:r w:rsidRPr="00C753E1">
        <w:rPr>
          <w:rFonts w:ascii="Calibri" w:hAnsi="Calibri"/>
          <w:b/>
          <w:u w:val="single"/>
        </w:rPr>
        <w:t>Dodatkowo przed przystąpienie</w:t>
      </w:r>
      <w:r w:rsidR="00621058">
        <w:rPr>
          <w:rFonts w:ascii="Calibri" w:hAnsi="Calibri"/>
          <w:b/>
          <w:u w:val="single"/>
        </w:rPr>
        <w:t>m</w:t>
      </w:r>
      <w:r w:rsidRPr="00C753E1">
        <w:rPr>
          <w:rFonts w:ascii="Calibri" w:hAnsi="Calibri"/>
          <w:b/>
          <w:u w:val="single"/>
        </w:rPr>
        <w:t xml:space="preserve"> do przetargu Przewodniczącemu Komisji Przetargowej należy złożyć</w:t>
      </w:r>
      <w:r w:rsidR="00100234" w:rsidRPr="00C753E1">
        <w:rPr>
          <w:rFonts w:ascii="Calibri" w:hAnsi="Calibri"/>
          <w:b/>
          <w:u w:val="single"/>
        </w:rPr>
        <w:t xml:space="preserve"> </w:t>
      </w:r>
      <w:r w:rsidRPr="00C753E1">
        <w:rPr>
          <w:rFonts w:ascii="Calibri" w:hAnsi="Calibr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C753E1" w:rsidRDefault="006543A8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Osoby prawn</w:t>
      </w:r>
      <w:r w:rsidR="00275E76">
        <w:rPr>
          <w:rFonts w:ascii="Calibri" w:hAnsi="Calibri"/>
        </w:rPr>
        <w:t xml:space="preserve">e krajowe i spółki z udziałem </w:t>
      </w:r>
      <w:r w:rsidRPr="00C753E1">
        <w:rPr>
          <w:rFonts w:ascii="Calibri" w:hAnsi="Calibri"/>
        </w:rPr>
        <w:t>zagranicznym muszą dodatkowo przedłożyć oryginały lub poświadczone za zgodność z oryginałem: umowy spółki, aktualny odpis z rejestru handlowego</w:t>
      </w:r>
      <w:r w:rsidR="00381704">
        <w:rPr>
          <w:rFonts w:ascii="Calibri" w:hAnsi="Calibri"/>
        </w:rPr>
        <w:t>/sądowego</w:t>
      </w:r>
      <w:r w:rsidRPr="00C753E1">
        <w:rPr>
          <w:rFonts w:ascii="Calibri" w:hAnsi="Calibri"/>
        </w:rPr>
        <w:t xml:space="preserve"> (nie starszy niż 2 miesiące), aktualną listę wspólników i uchwałę odpowiedniego organu osoby prawnej </w:t>
      </w:r>
      <w:r w:rsidR="00100234" w:rsidRPr="00C753E1">
        <w:rPr>
          <w:rFonts w:ascii="Calibri" w:hAnsi="Calibri"/>
        </w:rPr>
        <w:t>zezwalającej</w:t>
      </w:r>
      <w:r w:rsidRPr="00C753E1">
        <w:rPr>
          <w:rFonts w:ascii="Calibri" w:hAnsi="Calibri"/>
        </w:rPr>
        <w:t xml:space="preserve"> na nabycie </w:t>
      </w:r>
      <w:r w:rsidR="00100234" w:rsidRPr="00C753E1">
        <w:rPr>
          <w:rFonts w:ascii="Calibri" w:hAnsi="Calibri"/>
        </w:rPr>
        <w:t>nieruchomości</w:t>
      </w:r>
      <w:r w:rsidRPr="00C753E1">
        <w:rPr>
          <w:rFonts w:ascii="Calibri" w:hAnsi="Calibri"/>
        </w:rPr>
        <w:t xml:space="preserve">. </w:t>
      </w:r>
    </w:p>
    <w:p w:rsidR="0036103D" w:rsidRPr="00C753E1" w:rsidRDefault="00052B92" w:rsidP="007C51FE">
      <w:pPr>
        <w:ind w:firstLine="540"/>
        <w:jc w:val="both"/>
        <w:rPr>
          <w:rFonts w:ascii="Calibri" w:hAnsi="Calibri" w:cs="Arial"/>
        </w:rPr>
      </w:pPr>
      <w:r w:rsidRPr="00C753E1">
        <w:rPr>
          <w:rFonts w:ascii="Calibri" w:hAnsi="Calibri" w:cs="Arial"/>
        </w:rPr>
        <w:t xml:space="preserve">Osiągnięta w przetargu cena nabycia nieruchomości winna być uiszczona najpóźniej w dniu zawarcia umowy notarialnej. </w:t>
      </w:r>
      <w:r w:rsidR="00F56A61">
        <w:rPr>
          <w:rFonts w:ascii="Calibri" w:hAnsi="Calibri" w:cs="Arial"/>
        </w:rPr>
        <w:t xml:space="preserve">Przy czy w dniu zawarcia umowy </w:t>
      </w:r>
      <w:r w:rsidR="00F72C63">
        <w:rPr>
          <w:rFonts w:ascii="Calibri" w:hAnsi="Calibri" w:cs="Arial"/>
        </w:rPr>
        <w:t>sprzedaży</w:t>
      </w:r>
      <w:r w:rsidR="00F56A61">
        <w:rPr>
          <w:rFonts w:ascii="Calibri" w:hAnsi="Calibri" w:cs="Arial"/>
        </w:rPr>
        <w:t xml:space="preserve"> w kancelarii środku winny być widoczne na koncie Gminy Kostomłoty. </w:t>
      </w:r>
      <w:r w:rsidRPr="00C753E1">
        <w:rPr>
          <w:rFonts w:ascii="Calibri" w:hAnsi="Calibri" w:cs="Arial"/>
        </w:rPr>
        <w:t>Nabywca pokrywa koszty przygotowania nieruchomości do sprzedaży, koszty notarialne i sądowe.</w:t>
      </w:r>
    </w:p>
    <w:p w:rsidR="00100234" w:rsidRPr="00C753E1" w:rsidRDefault="00100234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C753E1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>Wójt Gminy Kost</w:t>
      </w:r>
      <w:r w:rsidR="00052B92" w:rsidRPr="00C753E1">
        <w:rPr>
          <w:rFonts w:ascii="Calibri" w:hAnsi="Calibri"/>
        </w:rPr>
        <w:t>omłoty może odwołać przetarg z ważnych powodów, podając niezwłocznie informację o odwołaniu przetargu wraz z uzasadnieniem do publicznej wiadomości w formie właściwej dla ogłoszenia</w:t>
      </w:r>
      <w:r w:rsidRPr="00C753E1">
        <w:rPr>
          <w:rFonts w:ascii="Calibri" w:hAnsi="Calibri"/>
        </w:rPr>
        <w:t>.</w:t>
      </w:r>
    </w:p>
    <w:p w:rsidR="00244337" w:rsidRPr="00C753E1" w:rsidRDefault="0036103D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Bliższych informacji udziela Referat </w:t>
      </w:r>
      <w:r w:rsidR="001D1409" w:rsidRPr="00C753E1">
        <w:rPr>
          <w:rFonts w:ascii="Calibri" w:hAnsi="Calibri"/>
        </w:rPr>
        <w:t xml:space="preserve">Infrastruktury Technicznej </w:t>
      </w:r>
      <w:r w:rsidR="009E590F" w:rsidRPr="00C753E1">
        <w:rPr>
          <w:rFonts w:ascii="Calibri" w:hAnsi="Calibri"/>
        </w:rPr>
        <w:t xml:space="preserve">Gospodarki Nieruchomościami </w:t>
      </w:r>
      <w:r w:rsidR="001D1409" w:rsidRPr="00C753E1">
        <w:rPr>
          <w:rFonts w:ascii="Calibri" w:hAnsi="Calibri"/>
        </w:rPr>
        <w:t>Rolnictw</w:t>
      </w:r>
      <w:r w:rsidR="009E590F" w:rsidRPr="00C753E1">
        <w:rPr>
          <w:rFonts w:ascii="Calibri" w:hAnsi="Calibri"/>
        </w:rPr>
        <w:t xml:space="preserve">a Ochrony Środowiska Gospodarki Przestrzennej </w:t>
      </w:r>
      <w:r w:rsidR="001D1409" w:rsidRPr="00C753E1">
        <w:rPr>
          <w:rFonts w:ascii="Calibri" w:hAnsi="Calibri"/>
        </w:rPr>
        <w:t xml:space="preserve"> </w:t>
      </w:r>
      <w:r w:rsidRPr="00C753E1">
        <w:rPr>
          <w:rFonts w:ascii="Calibri" w:hAnsi="Calibri"/>
        </w:rPr>
        <w:t xml:space="preserve">Urzędu Gminy w Kostomłotach pok. nr </w:t>
      </w:r>
      <w:r w:rsidR="001D1409" w:rsidRPr="00C753E1">
        <w:rPr>
          <w:rFonts w:ascii="Calibri" w:hAnsi="Calibri"/>
        </w:rPr>
        <w:t>18</w:t>
      </w:r>
      <w:r w:rsidRPr="00C753E1">
        <w:rPr>
          <w:rFonts w:ascii="Calibri" w:hAnsi="Calibri"/>
        </w:rPr>
        <w:t xml:space="preserve">, tel. </w:t>
      </w:r>
      <w:r w:rsidR="00C11BFD" w:rsidRPr="00C753E1">
        <w:rPr>
          <w:rFonts w:ascii="Calibri" w:hAnsi="Calibri"/>
        </w:rPr>
        <w:t xml:space="preserve">71/396-72-53.  </w:t>
      </w:r>
    </w:p>
    <w:p w:rsidR="0090595F" w:rsidRPr="00C753E1" w:rsidRDefault="0090595F" w:rsidP="007C51FE">
      <w:pPr>
        <w:ind w:firstLine="540"/>
        <w:jc w:val="both"/>
        <w:rPr>
          <w:rFonts w:ascii="Calibri" w:hAnsi="Calibri"/>
        </w:rPr>
      </w:pPr>
      <w:r w:rsidRPr="00C753E1">
        <w:rPr>
          <w:rFonts w:ascii="Calibri" w:hAnsi="Calibr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8" w:history="1">
        <w:r w:rsidRPr="00C753E1">
          <w:rPr>
            <w:rStyle w:val="Hipercze"/>
            <w:rFonts w:ascii="Calibri" w:hAnsi="Calibri"/>
          </w:rPr>
          <w:t>www.kostomloty.pl</w:t>
        </w:r>
      </w:hyperlink>
      <w:r w:rsidR="00F56A61">
        <w:rPr>
          <w:rFonts w:ascii="Calibri" w:hAnsi="Calibri"/>
        </w:rPr>
        <w:t xml:space="preserve">. </w:t>
      </w:r>
    </w:p>
    <w:p w:rsidR="0090595F" w:rsidRPr="00C753E1" w:rsidRDefault="0090595F" w:rsidP="00B4316C">
      <w:pPr>
        <w:jc w:val="both"/>
        <w:rPr>
          <w:rFonts w:ascii="Calibri" w:hAnsi="Calibri"/>
        </w:rPr>
      </w:pPr>
    </w:p>
    <w:p w:rsidR="005730BA" w:rsidRDefault="005730BA" w:rsidP="007C51FE">
      <w:pPr>
        <w:jc w:val="both"/>
        <w:rPr>
          <w:rFonts w:ascii="Calibri" w:hAnsi="Calibri"/>
          <w:sz w:val="20"/>
          <w:szCs w:val="20"/>
        </w:rPr>
      </w:pPr>
    </w:p>
    <w:p w:rsidR="005730BA" w:rsidRDefault="005730BA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A76D04" w:rsidRDefault="00A76D04" w:rsidP="007C51FE">
      <w:pPr>
        <w:jc w:val="both"/>
        <w:rPr>
          <w:rFonts w:ascii="Calibri" w:hAnsi="Calibri"/>
          <w:sz w:val="20"/>
          <w:szCs w:val="20"/>
        </w:rPr>
      </w:pPr>
    </w:p>
    <w:p w:rsidR="00E411B0" w:rsidRDefault="00E411B0" w:rsidP="007C51FE">
      <w:pPr>
        <w:jc w:val="both"/>
        <w:rPr>
          <w:rFonts w:ascii="Calibri" w:hAnsi="Calibri"/>
          <w:sz w:val="20"/>
          <w:szCs w:val="20"/>
        </w:rPr>
      </w:pPr>
    </w:p>
    <w:p w:rsidR="0090595F" w:rsidRPr="005730BA" w:rsidRDefault="0090595F" w:rsidP="007C51FE">
      <w:pPr>
        <w:jc w:val="both"/>
        <w:rPr>
          <w:rFonts w:ascii="Calibri" w:hAnsi="Calibri"/>
          <w:sz w:val="20"/>
          <w:szCs w:val="20"/>
        </w:rPr>
      </w:pPr>
      <w:r w:rsidRPr="005730BA">
        <w:rPr>
          <w:rFonts w:ascii="Calibri" w:hAnsi="Calibri"/>
          <w:sz w:val="20"/>
          <w:szCs w:val="20"/>
        </w:rPr>
        <w:t>Ogłoszenie sporządziła: Iwona Twardowska-Okła</w:t>
      </w:r>
    </w:p>
    <w:p w:rsidR="0090595F" w:rsidRPr="005730BA" w:rsidRDefault="0090595F" w:rsidP="007C51FE">
      <w:pPr>
        <w:jc w:val="both"/>
        <w:rPr>
          <w:rFonts w:ascii="Calibri" w:hAnsi="Calibri"/>
          <w:sz w:val="20"/>
          <w:szCs w:val="20"/>
        </w:rPr>
      </w:pPr>
      <w:r w:rsidRPr="005730BA">
        <w:rPr>
          <w:rFonts w:ascii="Calibri" w:hAnsi="Calibri"/>
          <w:sz w:val="20"/>
          <w:szCs w:val="20"/>
        </w:rPr>
        <w:t>Tel. 71/396-72-53</w:t>
      </w:r>
    </w:p>
    <w:p w:rsidR="0090595F" w:rsidRPr="005730BA" w:rsidRDefault="0090595F" w:rsidP="007C51FE">
      <w:pPr>
        <w:jc w:val="both"/>
        <w:rPr>
          <w:rFonts w:ascii="Calibri" w:hAnsi="Calibri"/>
          <w:sz w:val="20"/>
          <w:szCs w:val="20"/>
        </w:rPr>
      </w:pPr>
      <w:r w:rsidRPr="005730BA">
        <w:rPr>
          <w:rFonts w:ascii="Calibri" w:hAnsi="Calibri"/>
          <w:sz w:val="20"/>
          <w:szCs w:val="20"/>
        </w:rPr>
        <w:t>e-mail: nieruchomosci@kostomloty.pl</w:t>
      </w:r>
    </w:p>
    <w:p w:rsidR="0090595F" w:rsidRPr="00C753E1" w:rsidRDefault="0090595F" w:rsidP="007C51FE">
      <w:pPr>
        <w:jc w:val="both"/>
        <w:rPr>
          <w:rFonts w:ascii="Calibri" w:hAnsi="Calibri"/>
        </w:rPr>
      </w:pPr>
    </w:p>
    <w:p w:rsidR="001D1409" w:rsidRPr="005730BA" w:rsidRDefault="001D1409" w:rsidP="007C51FE">
      <w:pPr>
        <w:jc w:val="both"/>
        <w:rPr>
          <w:rFonts w:ascii="Calibri" w:hAnsi="Calibri"/>
          <w:sz w:val="16"/>
          <w:szCs w:val="16"/>
        </w:rPr>
      </w:pPr>
      <w:r w:rsidRPr="005730BA">
        <w:rPr>
          <w:rFonts w:ascii="Calibri" w:hAnsi="Calibri"/>
          <w:sz w:val="16"/>
          <w:szCs w:val="16"/>
        </w:rPr>
        <w:t xml:space="preserve">Kostomłoty, dnia </w:t>
      </w:r>
      <w:r w:rsidR="00F56A61">
        <w:rPr>
          <w:rFonts w:ascii="Calibri" w:hAnsi="Calibri"/>
          <w:sz w:val="16"/>
          <w:szCs w:val="16"/>
        </w:rPr>
        <w:t>1</w:t>
      </w:r>
      <w:r w:rsidR="00E411B0">
        <w:rPr>
          <w:rFonts w:ascii="Calibri" w:hAnsi="Calibri"/>
          <w:sz w:val="16"/>
          <w:szCs w:val="16"/>
        </w:rPr>
        <w:t>7</w:t>
      </w:r>
      <w:r w:rsidR="00F56A61">
        <w:rPr>
          <w:rFonts w:ascii="Calibri" w:hAnsi="Calibri"/>
          <w:sz w:val="16"/>
          <w:szCs w:val="16"/>
        </w:rPr>
        <w:t>.0</w:t>
      </w:r>
      <w:r w:rsidR="00E411B0">
        <w:rPr>
          <w:rFonts w:ascii="Calibri" w:hAnsi="Calibri"/>
          <w:sz w:val="16"/>
          <w:szCs w:val="16"/>
        </w:rPr>
        <w:t>8</w:t>
      </w:r>
      <w:r w:rsidR="00F56A61">
        <w:rPr>
          <w:rFonts w:ascii="Calibri" w:hAnsi="Calibri"/>
          <w:sz w:val="16"/>
          <w:szCs w:val="16"/>
        </w:rPr>
        <w:t>.2015</w:t>
      </w:r>
      <w:r w:rsidR="00100234" w:rsidRPr="005730BA">
        <w:rPr>
          <w:rFonts w:ascii="Calibri" w:hAnsi="Calibri"/>
          <w:sz w:val="16"/>
          <w:szCs w:val="16"/>
        </w:rPr>
        <w:t xml:space="preserve"> r. </w:t>
      </w:r>
      <w:r w:rsidRPr="005730BA">
        <w:rPr>
          <w:rFonts w:ascii="Calibri" w:hAnsi="Calibri"/>
          <w:sz w:val="16"/>
          <w:szCs w:val="16"/>
        </w:rPr>
        <w:t xml:space="preserve"> </w:t>
      </w:r>
    </w:p>
    <w:sectPr w:rsidR="001D1409" w:rsidRPr="005730BA" w:rsidSect="004725E7">
      <w:footerReference w:type="even" r:id="rId9"/>
      <w:footerReference w:type="default" r:id="rId10"/>
      <w:pgSz w:w="11906" w:h="16838"/>
      <w:pgMar w:top="719" w:right="128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22" w:rsidRDefault="00012422">
      <w:r>
        <w:separator/>
      </w:r>
    </w:p>
  </w:endnote>
  <w:endnote w:type="continuationSeparator" w:id="0">
    <w:p w:rsidR="00012422" w:rsidRDefault="0001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F37B5B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F37B5B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0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22" w:rsidRDefault="00012422">
      <w:r>
        <w:separator/>
      </w:r>
    </w:p>
  </w:footnote>
  <w:footnote w:type="continuationSeparator" w:id="0">
    <w:p w:rsidR="00012422" w:rsidRDefault="0001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45"/>
    <w:multiLevelType w:val="hybridMultilevel"/>
    <w:tmpl w:val="8EFCFBE8"/>
    <w:lvl w:ilvl="0" w:tplc="9A648A5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F4B17"/>
    <w:multiLevelType w:val="hybridMultilevel"/>
    <w:tmpl w:val="2B9A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5053E"/>
    <w:multiLevelType w:val="hybridMultilevel"/>
    <w:tmpl w:val="CBFC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0997"/>
    <w:multiLevelType w:val="hybridMultilevel"/>
    <w:tmpl w:val="CC24008E"/>
    <w:lvl w:ilvl="0" w:tplc="3866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29"/>
  </w:num>
  <w:num w:numId="9">
    <w:abstractNumId w:val="14"/>
  </w:num>
  <w:num w:numId="10">
    <w:abstractNumId w:val="24"/>
  </w:num>
  <w:num w:numId="11">
    <w:abstractNumId w:val="8"/>
  </w:num>
  <w:num w:numId="12">
    <w:abstractNumId w:val="27"/>
  </w:num>
  <w:num w:numId="13">
    <w:abstractNumId w:val="5"/>
  </w:num>
  <w:num w:numId="14">
    <w:abstractNumId w:val="3"/>
  </w:num>
  <w:num w:numId="15">
    <w:abstractNumId w:val="23"/>
  </w:num>
  <w:num w:numId="16">
    <w:abstractNumId w:val="4"/>
  </w:num>
  <w:num w:numId="17">
    <w:abstractNumId w:val="2"/>
  </w:num>
  <w:num w:numId="18">
    <w:abstractNumId w:val="17"/>
  </w:num>
  <w:num w:numId="19">
    <w:abstractNumId w:val="28"/>
  </w:num>
  <w:num w:numId="20">
    <w:abstractNumId w:val="10"/>
  </w:num>
  <w:num w:numId="21">
    <w:abstractNumId w:val="13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16"/>
  </w:num>
  <w:num w:numId="27">
    <w:abstractNumId w:val="30"/>
  </w:num>
  <w:num w:numId="28">
    <w:abstractNumId w:val="0"/>
  </w:num>
  <w:num w:numId="29">
    <w:abstractNumId w:val="19"/>
  </w:num>
  <w:num w:numId="30">
    <w:abstractNumId w:val="9"/>
  </w:num>
  <w:num w:numId="31">
    <w:abstractNumId w:val="3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422"/>
    <w:rsid w:val="00012DA4"/>
    <w:rsid w:val="0002350D"/>
    <w:rsid w:val="000401E4"/>
    <w:rsid w:val="00043937"/>
    <w:rsid w:val="00046A59"/>
    <w:rsid w:val="00047553"/>
    <w:rsid w:val="00052B92"/>
    <w:rsid w:val="000546F4"/>
    <w:rsid w:val="000558A2"/>
    <w:rsid w:val="000741E0"/>
    <w:rsid w:val="00077955"/>
    <w:rsid w:val="00087AEB"/>
    <w:rsid w:val="000B3EB9"/>
    <w:rsid w:val="000B4370"/>
    <w:rsid w:val="000C3ECD"/>
    <w:rsid w:val="000E4BEF"/>
    <w:rsid w:val="000F71A7"/>
    <w:rsid w:val="00100234"/>
    <w:rsid w:val="0010140C"/>
    <w:rsid w:val="00112F2C"/>
    <w:rsid w:val="0012099F"/>
    <w:rsid w:val="00121DEA"/>
    <w:rsid w:val="00123F1D"/>
    <w:rsid w:val="00125C90"/>
    <w:rsid w:val="001358BA"/>
    <w:rsid w:val="001C2099"/>
    <w:rsid w:val="001C5211"/>
    <w:rsid w:val="001D1409"/>
    <w:rsid w:val="001F1709"/>
    <w:rsid w:val="002241C1"/>
    <w:rsid w:val="00244337"/>
    <w:rsid w:val="00247A07"/>
    <w:rsid w:val="00257401"/>
    <w:rsid w:val="00275E76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6103D"/>
    <w:rsid w:val="00381704"/>
    <w:rsid w:val="003834D8"/>
    <w:rsid w:val="003A415A"/>
    <w:rsid w:val="003A5C2C"/>
    <w:rsid w:val="004238B6"/>
    <w:rsid w:val="004450EB"/>
    <w:rsid w:val="004725E7"/>
    <w:rsid w:val="00472A79"/>
    <w:rsid w:val="00472B2C"/>
    <w:rsid w:val="00473857"/>
    <w:rsid w:val="004959D4"/>
    <w:rsid w:val="004B0ABC"/>
    <w:rsid w:val="004B6F5B"/>
    <w:rsid w:val="004C53BC"/>
    <w:rsid w:val="004D33A5"/>
    <w:rsid w:val="004E1315"/>
    <w:rsid w:val="004E2208"/>
    <w:rsid w:val="004F275C"/>
    <w:rsid w:val="004F5C69"/>
    <w:rsid w:val="00504D43"/>
    <w:rsid w:val="00514CEE"/>
    <w:rsid w:val="005230DC"/>
    <w:rsid w:val="00555AAE"/>
    <w:rsid w:val="00561611"/>
    <w:rsid w:val="00562D6E"/>
    <w:rsid w:val="005703BF"/>
    <w:rsid w:val="005730BA"/>
    <w:rsid w:val="0059467D"/>
    <w:rsid w:val="00595089"/>
    <w:rsid w:val="005954C9"/>
    <w:rsid w:val="005A1641"/>
    <w:rsid w:val="005A1F65"/>
    <w:rsid w:val="005C222D"/>
    <w:rsid w:val="00621058"/>
    <w:rsid w:val="00633997"/>
    <w:rsid w:val="00637D5F"/>
    <w:rsid w:val="00651F1E"/>
    <w:rsid w:val="006543A8"/>
    <w:rsid w:val="00687DA3"/>
    <w:rsid w:val="006A022F"/>
    <w:rsid w:val="006A4208"/>
    <w:rsid w:val="006D6D0D"/>
    <w:rsid w:val="007106DA"/>
    <w:rsid w:val="00751DF3"/>
    <w:rsid w:val="007556B8"/>
    <w:rsid w:val="0079416E"/>
    <w:rsid w:val="00797C80"/>
    <w:rsid w:val="007A273F"/>
    <w:rsid w:val="007A36B5"/>
    <w:rsid w:val="007C51FE"/>
    <w:rsid w:val="007D38D6"/>
    <w:rsid w:val="007F3A0D"/>
    <w:rsid w:val="007F6BED"/>
    <w:rsid w:val="00803D6D"/>
    <w:rsid w:val="00825958"/>
    <w:rsid w:val="008518CB"/>
    <w:rsid w:val="00895264"/>
    <w:rsid w:val="008B3F1E"/>
    <w:rsid w:val="008B41CB"/>
    <w:rsid w:val="008C107F"/>
    <w:rsid w:val="008C7FC5"/>
    <w:rsid w:val="008D6AD4"/>
    <w:rsid w:val="008E1155"/>
    <w:rsid w:val="0090595F"/>
    <w:rsid w:val="0095080C"/>
    <w:rsid w:val="0095368F"/>
    <w:rsid w:val="00980F20"/>
    <w:rsid w:val="00984F3E"/>
    <w:rsid w:val="009B79FF"/>
    <w:rsid w:val="009C1D4B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631C1"/>
    <w:rsid w:val="00A76D04"/>
    <w:rsid w:val="00AC5E8A"/>
    <w:rsid w:val="00AD3867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7891"/>
    <w:rsid w:val="00C01275"/>
    <w:rsid w:val="00C1061B"/>
    <w:rsid w:val="00C11BFD"/>
    <w:rsid w:val="00C753E1"/>
    <w:rsid w:val="00CA629B"/>
    <w:rsid w:val="00CC43F0"/>
    <w:rsid w:val="00D129F8"/>
    <w:rsid w:val="00D47698"/>
    <w:rsid w:val="00D61758"/>
    <w:rsid w:val="00D62530"/>
    <w:rsid w:val="00D66D69"/>
    <w:rsid w:val="00D74DAE"/>
    <w:rsid w:val="00D87990"/>
    <w:rsid w:val="00DF3050"/>
    <w:rsid w:val="00E007AC"/>
    <w:rsid w:val="00E307DA"/>
    <w:rsid w:val="00E30AF1"/>
    <w:rsid w:val="00E31EF3"/>
    <w:rsid w:val="00E411B0"/>
    <w:rsid w:val="00E825FA"/>
    <w:rsid w:val="00E8361B"/>
    <w:rsid w:val="00E92D06"/>
    <w:rsid w:val="00E9354D"/>
    <w:rsid w:val="00EC7C2A"/>
    <w:rsid w:val="00ED4B5B"/>
    <w:rsid w:val="00EF14F9"/>
    <w:rsid w:val="00F37B5B"/>
    <w:rsid w:val="00F56A61"/>
    <w:rsid w:val="00F72C63"/>
    <w:rsid w:val="00F74C5A"/>
    <w:rsid w:val="00FA6124"/>
    <w:rsid w:val="00FA62ED"/>
    <w:rsid w:val="00FB56AE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omlo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BADA8-915A-4C42-8473-B5A97C27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9461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subject/>
  <dc:creator>UG</dc:creator>
  <cp:keywords/>
  <dc:description/>
  <cp:lastModifiedBy>UG</cp:lastModifiedBy>
  <cp:revision>3</cp:revision>
  <cp:lastPrinted>2015-08-13T11:49:00Z</cp:lastPrinted>
  <dcterms:created xsi:type="dcterms:W3CDTF">2015-08-13T13:10:00Z</dcterms:created>
  <dcterms:modified xsi:type="dcterms:W3CDTF">2015-08-17T07:08:00Z</dcterms:modified>
</cp:coreProperties>
</file>